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542"/>
        <w:gridCol w:w="2618"/>
      </w:tblGrid>
      <w:tr w:rsidR="009A5497" w:rsidRPr="008F7FFB" w14:paraId="7FA3A3D5" w14:textId="77777777" w:rsidTr="009A5497">
        <w:tc>
          <w:tcPr>
            <w:tcW w:w="3614" w:type="dxa"/>
          </w:tcPr>
          <w:p w14:paraId="64BADF2D" w14:textId="77777777" w:rsidR="009A5497" w:rsidRPr="008F7FFB" w:rsidRDefault="009A5497" w:rsidP="009A5497">
            <w:pPr>
              <w:rPr>
                <w:color w:val="000000"/>
                <w:sz w:val="22"/>
                <w:szCs w:val="18"/>
              </w:rPr>
            </w:pPr>
            <w:bookmarkStart w:id="0" w:name="_GoBack"/>
            <w:bookmarkEnd w:id="0"/>
            <w:r w:rsidRPr="008F7FFB">
              <w:rPr>
                <w:color w:val="000000"/>
                <w:sz w:val="22"/>
                <w:szCs w:val="18"/>
              </w:rPr>
              <w:t>Università degli Studi di Trento</w:t>
            </w:r>
          </w:p>
          <w:p w14:paraId="7010AF1D" w14:textId="77777777" w:rsidR="009A5497" w:rsidRPr="008F7FFB" w:rsidRDefault="009A5497" w:rsidP="009A5497">
            <w:pPr>
              <w:rPr>
                <w:color w:val="000000"/>
                <w:sz w:val="22"/>
                <w:szCs w:val="18"/>
              </w:rPr>
            </w:pPr>
            <w:r w:rsidRPr="008F7FFB">
              <w:rPr>
                <w:color w:val="000000"/>
                <w:sz w:val="22"/>
                <w:szCs w:val="18"/>
              </w:rPr>
              <w:t>Sc</w:t>
            </w:r>
            <w:r>
              <w:rPr>
                <w:color w:val="000000"/>
                <w:sz w:val="22"/>
                <w:szCs w:val="18"/>
              </w:rPr>
              <w:t>hool of International Studies</w:t>
            </w:r>
          </w:p>
        </w:tc>
        <w:tc>
          <w:tcPr>
            <w:tcW w:w="3544" w:type="dxa"/>
          </w:tcPr>
          <w:p w14:paraId="4B1AEFB5" w14:textId="77777777" w:rsidR="009A5497" w:rsidRDefault="009A5497" w:rsidP="009A5497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Master’s Degree in European and International Studies</w:t>
            </w:r>
          </w:p>
          <w:p w14:paraId="636ADC7A" w14:textId="77777777" w:rsidR="009A5497" w:rsidRDefault="009A5497" w:rsidP="009A5497">
            <w:pPr>
              <w:pStyle w:val="Titolo3"/>
            </w:pPr>
            <w:r>
              <w:t xml:space="preserve">English Language </w:t>
            </w:r>
          </w:p>
          <w:p w14:paraId="1599197A" w14:textId="77777777" w:rsidR="009A5497" w:rsidRDefault="009A5497" w:rsidP="009A5497">
            <w:pPr>
              <w:pStyle w:val="Titolo1"/>
              <w:rPr>
                <w:sz w:val="22"/>
              </w:rPr>
            </w:pPr>
            <w:r>
              <w:rPr>
                <w:sz w:val="22"/>
              </w:rPr>
              <w:t>Reading Comprehension</w:t>
            </w:r>
          </w:p>
          <w:p w14:paraId="2D73190A" w14:textId="468D8EC1" w:rsidR="009A5497" w:rsidRPr="00333334" w:rsidRDefault="009A5497" w:rsidP="009A5497">
            <w:pPr>
              <w:jc w:val="center"/>
              <w:rPr>
                <w:b/>
              </w:rPr>
            </w:pPr>
            <w:r w:rsidRPr="00333334">
              <w:rPr>
                <w:b/>
              </w:rPr>
              <w:t>Text 1</w:t>
            </w:r>
            <w:r w:rsidR="003C46EE">
              <w:rPr>
                <w:b/>
              </w:rPr>
              <w:t>a</w:t>
            </w:r>
          </w:p>
        </w:tc>
        <w:tc>
          <w:tcPr>
            <w:tcW w:w="2620" w:type="dxa"/>
          </w:tcPr>
          <w:p w14:paraId="3394658E" w14:textId="283573D1" w:rsidR="009A5497" w:rsidRPr="008F7FFB" w:rsidRDefault="00435030" w:rsidP="009A549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2014 – 2015</w:t>
            </w:r>
          </w:p>
          <w:p w14:paraId="5F08D904" w14:textId="443BA98A" w:rsidR="009A5497" w:rsidRPr="008F7FFB" w:rsidRDefault="00435030" w:rsidP="009A549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15</w:t>
            </w:r>
            <w:r w:rsidR="009A5497" w:rsidRPr="008F7FFB">
              <w:rPr>
                <w:color w:val="000000"/>
                <w:sz w:val="22"/>
                <w:szCs w:val="18"/>
                <w:lang w:val="en-GB"/>
              </w:rPr>
              <w:t xml:space="preserve"> June 201</w:t>
            </w:r>
            <w:r>
              <w:rPr>
                <w:color w:val="000000"/>
                <w:sz w:val="22"/>
                <w:szCs w:val="18"/>
                <w:lang w:val="en-GB"/>
              </w:rPr>
              <w:t>5</w:t>
            </w:r>
          </w:p>
          <w:p w14:paraId="717A65E3" w14:textId="77777777" w:rsidR="009A5497" w:rsidRPr="008F7FFB" w:rsidRDefault="009A5497" w:rsidP="009A5497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1B789025" w14:textId="7B5475B9" w:rsidR="009A5497" w:rsidRDefault="009A5497" w:rsidP="003E453C">
      <w:pPr>
        <w:spacing w:before="120"/>
        <w:rPr>
          <w:b/>
          <w:bCs/>
          <w:lang w:val="en-GB"/>
        </w:rPr>
      </w:pPr>
      <w:r>
        <w:rPr>
          <w:b/>
          <w:bCs/>
          <w:lang w:val="en-GB"/>
        </w:rPr>
        <w:t>READING TEXT 1</w:t>
      </w:r>
      <w:r w:rsidR="009C10A5">
        <w:rPr>
          <w:b/>
          <w:bCs/>
          <w:lang w:val="en-GB"/>
        </w:rPr>
        <w:t>a)</w:t>
      </w:r>
      <w:r>
        <w:rPr>
          <w:b/>
          <w:bCs/>
          <w:lang w:val="en-GB"/>
        </w:rPr>
        <w:t xml:space="preserve"> – </w:t>
      </w:r>
      <w:r w:rsidR="00435030">
        <w:rPr>
          <w:b/>
          <w:bCs/>
          <w:lang w:val="en-GB"/>
        </w:rPr>
        <w:t>Post-2015 Consensus   SMART DEVELOPMENT GOALS</w:t>
      </w:r>
    </w:p>
    <w:p w14:paraId="024572E0" w14:textId="772F7800" w:rsidR="00FB6C1C" w:rsidRDefault="00FB6C1C" w:rsidP="003E453C">
      <w:pPr>
        <w:spacing w:before="120"/>
        <w:rPr>
          <w:bCs/>
          <w:lang w:val="en-GB"/>
        </w:rPr>
      </w:pPr>
      <w:r w:rsidRPr="00FB6C1C">
        <w:rPr>
          <w:bCs/>
          <w:lang w:val="en-GB"/>
        </w:rPr>
        <w:t>Text</w:t>
      </w:r>
      <w:r>
        <w:rPr>
          <w:bCs/>
          <w:lang w:val="en-GB"/>
        </w:rPr>
        <w:t xml:space="preserve"> Adapted from the Compenhagen Consensus website: </w:t>
      </w:r>
      <w:hyperlink r:id="rId7" w:history="1">
        <w:r w:rsidRPr="00467B95">
          <w:rPr>
            <w:rStyle w:val="Collegamentoipertestuale"/>
            <w:bCs/>
            <w:lang w:val="en-GB"/>
          </w:rPr>
          <w:t>http://www.copenhagenconsensus.com/post-2015-consensus/nobel-laureates-guide-smarter-global-targets-2030</w:t>
        </w:r>
      </w:hyperlink>
      <w:r>
        <w:rPr>
          <w:bCs/>
          <w:lang w:val="en-GB"/>
        </w:rPr>
        <w:t xml:space="preserve"> </w:t>
      </w:r>
    </w:p>
    <w:p w14:paraId="5BEE13E9" w14:textId="77777777" w:rsidR="00FB6C1C" w:rsidRPr="00FB6C1C" w:rsidRDefault="00FB6C1C" w:rsidP="003E453C">
      <w:pPr>
        <w:spacing w:before="120"/>
        <w:rPr>
          <w:bCs/>
          <w:lang w:val="en-GB"/>
        </w:rPr>
      </w:pPr>
    </w:p>
    <w:p w14:paraId="19299BE4" w14:textId="7CF33EA3" w:rsidR="00574F6F" w:rsidRDefault="00435030" w:rsidP="00435030">
      <w:pPr>
        <w:rPr>
          <w:lang w:val="en-GB"/>
        </w:rPr>
      </w:pPr>
      <w:r>
        <w:rPr>
          <w:lang w:val="en-GB"/>
        </w:rPr>
        <w:t>Fill</w:t>
      </w:r>
      <w:r w:rsidR="009A5497">
        <w:rPr>
          <w:lang w:val="en-GB"/>
        </w:rPr>
        <w:t xml:space="preserve"> the </w:t>
      </w:r>
      <w:r>
        <w:rPr>
          <w:lang w:val="en-GB"/>
        </w:rPr>
        <w:t>gaps numbered 1-15</w:t>
      </w:r>
      <w:r w:rsidR="009A5497">
        <w:rPr>
          <w:lang w:val="en-GB"/>
        </w:rPr>
        <w:t xml:space="preserve"> </w:t>
      </w:r>
      <w:r w:rsidR="00FB6C1C">
        <w:rPr>
          <w:lang w:val="en-GB"/>
        </w:rPr>
        <w:t xml:space="preserve">on pages 2&amp;3 </w:t>
      </w:r>
      <w:r>
        <w:rPr>
          <w:lang w:val="en-GB"/>
        </w:rPr>
        <w:t>with one of the words provided in the box</w:t>
      </w:r>
      <w:r w:rsidR="009C10A5">
        <w:rPr>
          <w:lang w:val="en-GB"/>
        </w:rPr>
        <w:t xml:space="preserve"> on the answer sheet</w:t>
      </w:r>
      <w:r w:rsidR="009A5497">
        <w:rPr>
          <w:lang w:val="en-GB"/>
        </w:rPr>
        <w:t xml:space="preserve">. </w:t>
      </w:r>
      <w:r w:rsidR="00F75506">
        <w:rPr>
          <w:lang w:val="en-GB"/>
        </w:rPr>
        <w:t>P</w:t>
      </w:r>
      <w:r w:rsidR="009A5497">
        <w:rPr>
          <w:lang w:val="en-GB"/>
        </w:rPr>
        <w:t xml:space="preserve">lease note that there are </w:t>
      </w:r>
      <w:r>
        <w:rPr>
          <w:lang w:val="en-GB"/>
        </w:rPr>
        <w:t>some of the words are used more than once and some of the words are not used at all.</w:t>
      </w:r>
      <w:r w:rsidR="009A5497">
        <w:rPr>
          <w:lang w:val="en-GB"/>
        </w:rPr>
        <w:t xml:space="preserve"> as the answe</w:t>
      </w:r>
      <w:r w:rsidR="00F75506">
        <w:rPr>
          <w:lang w:val="en-GB"/>
        </w:rPr>
        <w:t>r is the same in both instances</w:t>
      </w:r>
      <w:r w:rsidR="009A5497">
        <w:rPr>
          <w:lang w:val="en-GB"/>
        </w:rPr>
        <w:t>.</w:t>
      </w:r>
      <w:r w:rsidR="00F75506">
        <w:rPr>
          <w:lang w:val="en-GB"/>
        </w:rPr>
        <w:t xml:space="preserve"> </w:t>
      </w:r>
    </w:p>
    <w:p w14:paraId="487091D5" w14:textId="77777777" w:rsidR="00435030" w:rsidRPr="00435030" w:rsidRDefault="00435030" w:rsidP="00435030">
      <w:pPr>
        <w:rPr>
          <w:lang w:val="en-GB"/>
        </w:rPr>
      </w:pPr>
    </w:p>
    <w:p w14:paraId="0718A5B9" w14:textId="77777777" w:rsidR="00435030" w:rsidRPr="00435030" w:rsidRDefault="00435030" w:rsidP="0043503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35030">
        <w:rPr>
          <w:rFonts w:ascii="Times" w:hAnsi="Times" w:cs="Times"/>
          <w:sz w:val="28"/>
          <w:szCs w:val="28"/>
        </w:rPr>
        <w:t>Nobel Laureates Guide to Smarter Global Targets to 2030</w:t>
      </w:r>
    </w:p>
    <w:p w14:paraId="579A5717" w14:textId="77777777" w:rsidR="00435030" w:rsidRDefault="00435030" w:rsidP="00435030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  <w:r w:rsidRPr="00435030">
        <w:rPr>
          <w:rFonts w:ascii="Times" w:hAnsi="Times" w:cs="Times"/>
          <w:i/>
        </w:rPr>
        <w:t>Prioritizing 19 targets instead of the UN’s 169 targets is equivalent to doubling or quadrupling foreign aid</w:t>
      </w:r>
    </w:p>
    <w:p w14:paraId="55EAA536" w14:textId="7F8CC81A" w:rsidR="00D61EAF" w:rsidRDefault="00D61EAF" w:rsidP="00D61EAF">
      <w:pPr>
        <w:widowControl w:val="0"/>
        <w:autoSpaceDE w:val="0"/>
        <w:autoSpaceDN w:val="0"/>
        <w:adjustRightInd w:val="0"/>
        <w:rPr>
          <w:rFonts w:ascii="PT Serif Caption" w:hAnsi="PT Serif Caption" w:cs="PT Serif Caption"/>
          <w:color w:val="AD003F"/>
          <w:sz w:val="30"/>
          <w:szCs w:val="30"/>
        </w:rPr>
      </w:pPr>
      <w:r>
        <w:rPr>
          <w:rFonts w:ascii="Times" w:hAnsi="Times" w:cs="Times"/>
          <w:sz w:val="52"/>
          <w:szCs w:val="52"/>
        </w:rPr>
        <w:fldChar w:fldCharType="begin"/>
      </w:r>
      <w:r>
        <w:rPr>
          <w:rFonts w:ascii="Times" w:hAnsi="Times" w:cs="Times"/>
          <w:sz w:val="52"/>
          <w:szCs w:val="52"/>
        </w:rPr>
        <w:instrText>HYPERLINK "http://www.copenhagenconsensus.com/sites/default/files/outcomedocument_col.pdf"</w:instrText>
      </w:r>
      <w:r>
        <w:rPr>
          <w:rFonts w:ascii="Times" w:hAnsi="Times" w:cs="Times"/>
          <w:sz w:val="52"/>
          <w:szCs w:val="52"/>
        </w:rPr>
        <w:fldChar w:fldCharType="separate"/>
      </w:r>
    </w:p>
    <w:p w14:paraId="25D0F2B8" w14:textId="77777777" w:rsidR="00D61EAF" w:rsidRPr="00D61EAF" w:rsidRDefault="00D61EAF" w:rsidP="00D61EAF">
      <w:pPr>
        <w:widowControl w:val="0"/>
        <w:autoSpaceDE w:val="0"/>
        <w:autoSpaceDN w:val="0"/>
        <w:adjustRightInd w:val="0"/>
        <w:rPr>
          <w:rFonts w:ascii="PT Serif Caption" w:hAnsi="PT Serif Caption" w:cs="PT Serif Caption"/>
          <w:sz w:val="20"/>
          <w:szCs w:val="20"/>
        </w:rPr>
      </w:pPr>
      <w:r>
        <w:rPr>
          <w:rFonts w:ascii="Times" w:hAnsi="Times" w:cs="Times"/>
          <w:sz w:val="52"/>
          <w:szCs w:val="52"/>
        </w:rPr>
        <w:fldChar w:fldCharType="end"/>
      </w:r>
      <w:r w:rsidRPr="00D61EAF">
        <w:rPr>
          <w:rFonts w:ascii="PT Serif Caption" w:hAnsi="PT Serif Caption" w:cs="PT Serif Caption"/>
          <w:sz w:val="20"/>
          <w:szCs w:val="20"/>
        </w:rPr>
        <w:t xml:space="preserve">Over the past 18 months, we have published 100+ peer-reviewed analyses from 82 of the world’s top economists and 44 sector experts along with many UN agencies and NGOs. These have established how </w:t>
      </w:r>
      <w:hyperlink r:id="rId8" w:history="1">
        <w:r w:rsidRPr="00D61EAF">
          <w:rPr>
            <w:rFonts w:ascii="PT Serif Caption" w:hAnsi="PT Serif Caption" w:cs="PT Serif Caption"/>
            <w:color w:val="AD003F"/>
            <w:sz w:val="20"/>
            <w:szCs w:val="20"/>
          </w:rPr>
          <w:t>effective 100+ targets</w:t>
        </w:r>
      </w:hyperlink>
      <w:r w:rsidRPr="00D61EAF">
        <w:rPr>
          <w:rFonts w:ascii="PT Serif Caption" w:hAnsi="PT Serif Caption" w:cs="PT Serif Caption"/>
          <w:sz w:val="20"/>
          <w:szCs w:val="20"/>
        </w:rPr>
        <w:t xml:space="preserve"> would be in terms of social value-for-money. </w:t>
      </w:r>
    </w:p>
    <w:p w14:paraId="00B56A11" w14:textId="56E593F1" w:rsidR="00D61EAF" w:rsidRPr="00D61EAF" w:rsidRDefault="00D61EAF" w:rsidP="00D61EAF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</w:rPr>
      </w:pPr>
      <w:r w:rsidRPr="00D61EAF">
        <w:rPr>
          <w:rFonts w:ascii="PT Serif Caption" w:hAnsi="PT Serif Caption" w:cs="PT Serif Caption"/>
          <w:sz w:val="20"/>
          <w:szCs w:val="20"/>
        </w:rPr>
        <w:t xml:space="preserve">An </w:t>
      </w:r>
      <w:hyperlink r:id="rId9" w:history="1">
        <w:r w:rsidRPr="00D61EAF">
          <w:rPr>
            <w:rFonts w:ascii="PT Serif Caption" w:hAnsi="PT Serif Caption" w:cs="PT Serif Caption"/>
            <w:color w:val="AD003F"/>
            <w:sz w:val="20"/>
            <w:szCs w:val="20"/>
          </w:rPr>
          <w:t xml:space="preserve">Expert Panel </w:t>
        </w:r>
      </w:hyperlink>
      <w:r w:rsidRPr="00D61EAF">
        <w:rPr>
          <w:rFonts w:ascii="PT Serif Caption" w:hAnsi="PT Serif Caption" w:cs="PT Serif Caption"/>
          <w:sz w:val="20"/>
          <w:szCs w:val="20"/>
        </w:rPr>
        <w:t>including two Nobel Laureates has reviewed this research and identified 19 targets that represent the best value-for-money in development over the period 2016 to 2030, offering more than $15 back on every dollar invested.</w:t>
      </w:r>
    </w:p>
    <w:p w14:paraId="2CD66B89" w14:textId="77777777" w:rsidR="00D61EAF" w:rsidRDefault="00D61EAF" w:rsidP="00435030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</w:p>
    <w:p w14:paraId="38E838E4" w14:textId="77777777" w:rsidR="00D61EAF" w:rsidRDefault="00D61EAF" w:rsidP="00435030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</w:p>
    <w:p w14:paraId="24384121" w14:textId="0201033F" w:rsidR="00F32C7C" w:rsidRDefault="00F32C7C" w:rsidP="00F32C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</w:rPr>
      </w:pPr>
      <w:r>
        <w:rPr>
          <w:rFonts w:ascii="Times" w:hAnsi="Times" w:cs="Times"/>
          <w:i/>
          <w:noProof/>
        </w:rPr>
        <w:drawing>
          <wp:inline distT="0" distB="0" distL="0" distR="0" wp14:anchorId="38826463" wp14:editId="221019C4">
            <wp:extent cx="5766455" cy="3344545"/>
            <wp:effectExtent l="0" t="0" r="0" b="825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27" cy="33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3801" w14:textId="092DDD58" w:rsidR="00AC6956" w:rsidRPr="00435030" w:rsidRDefault="00AC6956" w:rsidP="00F32C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</w:rPr>
      </w:pPr>
    </w:p>
    <w:p w14:paraId="4006F095" w14:textId="2E83DD16" w:rsidR="00D61EAF" w:rsidRDefault="00D61EAF" w:rsidP="00117EA7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5347767F" wp14:editId="1F1CBEF4">
            <wp:extent cx="5481792" cy="9030173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30" cy="90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9865" w14:textId="77777777" w:rsidR="00AC6956" w:rsidRDefault="00AC6956" w:rsidP="00435030">
      <w:pPr>
        <w:spacing w:before="120"/>
        <w:rPr>
          <w:rFonts w:asciiTheme="majorHAnsi" w:hAnsiTheme="majorHAnsi"/>
          <w:sz w:val="22"/>
          <w:szCs w:val="22"/>
        </w:rPr>
      </w:pPr>
    </w:p>
    <w:p w14:paraId="65484D55" w14:textId="5C56B3B2" w:rsidR="00AC6956" w:rsidRDefault="00AC6956" w:rsidP="00161A47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14:paraId="558A9F4B" w14:textId="5DC12B08" w:rsidR="00161A47" w:rsidRDefault="00B3662D" w:rsidP="00161A47">
      <w:pPr>
        <w:spacing w:before="120"/>
        <w:ind w:left="-709" w:right="-85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0A44601" wp14:editId="0736D77F">
            <wp:extent cx="6615326" cy="3370907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8" cy="33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68D7" w14:textId="1D6D4AEE" w:rsidR="00117EA7" w:rsidRPr="00435030" w:rsidRDefault="00117EA7" w:rsidP="00161A47">
      <w:pPr>
        <w:spacing w:before="120"/>
        <w:ind w:left="-709" w:right="-85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554BD8A" wp14:editId="129389CC">
            <wp:extent cx="4784431" cy="502729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73" cy="50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EA7" w:rsidRPr="00435030" w:rsidSect="00D754F0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3BDB" w14:textId="77777777" w:rsidR="00FB6C1C" w:rsidRDefault="00FB6C1C" w:rsidP="00FB6C1C">
      <w:r>
        <w:separator/>
      </w:r>
    </w:p>
  </w:endnote>
  <w:endnote w:type="continuationSeparator" w:id="0">
    <w:p w14:paraId="04BA51A4" w14:textId="77777777" w:rsidR="00FB6C1C" w:rsidRDefault="00FB6C1C" w:rsidP="00F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 Caption">
    <w:panose1 w:val="02060603050505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CFCD" w14:textId="77777777" w:rsidR="00FB6C1C" w:rsidRDefault="00FB6C1C" w:rsidP="00467B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1C4A06" w14:textId="77777777" w:rsidR="00FB6C1C" w:rsidRDefault="00FB6C1C" w:rsidP="00FB6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8D5E" w14:textId="77777777" w:rsidR="00FB6C1C" w:rsidRDefault="00FB6C1C" w:rsidP="00467B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644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90EEBD" w14:textId="77777777" w:rsidR="00FB6C1C" w:rsidRDefault="00FB6C1C" w:rsidP="00FB6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3B8E" w14:textId="77777777" w:rsidR="00FB6C1C" w:rsidRDefault="00FB6C1C" w:rsidP="00FB6C1C">
      <w:r>
        <w:separator/>
      </w:r>
    </w:p>
  </w:footnote>
  <w:footnote w:type="continuationSeparator" w:id="0">
    <w:p w14:paraId="10215559" w14:textId="77777777" w:rsidR="00FB6C1C" w:rsidRDefault="00FB6C1C" w:rsidP="00FB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1A"/>
    <w:rsid w:val="00117EA7"/>
    <w:rsid w:val="00161A47"/>
    <w:rsid w:val="003B2AE3"/>
    <w:rsid w:val="003C46EE"/>
    <w:rsid w:val="003E453C"/>
    <w:rsid w:val="00435030"/>
    <w:rsid w:val="004672F5"/>
    <w:rsid w:val="00574F6F"/>
    <w:rsid w:val="00636E8E"/>
    <w:rsid w:val="0069516C"/>
    <w:rsid w:val="0074358D"/>
    <w:rsid w:val="00783C17"/>
    <w:rsid w:val="00806440"/>
    <w:rsid w:val="008A111A"/>
    <w:rsid w:val="009A5497"/>
    <w:rsid w:val="009C10A5"/>
    <w:rsid w:val="00A06194"/>
    <w:rsid w:val="00A14F94"/>
    <w:rsid w:val="00AC6956"/>
    <w:rsid w:val="00B3662D"/>
    <w:rsid w:val="00C73491"/>
    <w:rsid w:val="00CB27ED"/>
    <w:rsid w:val="00CC45CD"/>
    <w:rsid w:val="00D61EAF"/>
    <w:rsid w:val="00D754F0"/>
    <w:rsid w:val="00DD029C"/>
    <w:rsid w:val="00F32C7C"/>
    <w:rsid w:val="00F37117"/>
    <w:rsid w:val="00F52666"/>
    <w:rsid w:val="00F75506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26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5497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9A549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A5497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9A5497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9A5497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9A5497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B6C1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B6C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6C1C"/>
  </w:style>
  <w:style w:type="character" w:styleId="Numeropagina">
    <w:name w:val="page number"/>
    <w:basedOn w:val="Caratterepredefinitoparagrafo"/>
    <w:uiPriority w:val="99"/>
    <w:semiHidden/>
    <w:unhideWhenUsed/>
    <w:rsid w:val="00FB6C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5497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9A549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A5497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9A5497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9A5497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9A5497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B6C1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B6C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6C1C"/>
  </w:style>
  <w:style w:type="character" w:styleId="Numeropagina">
    <w:name w:val="page number"/>
    <w:basedOn w:val="Caratterepredefinitoparagrafo"/>
    <w:uiPriority w:val="99"/>
    <w:semiHidden/>
    <w:unhideWhenUsed/>
    <w:rsid w:val="00FB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penhagenconsensus.com/post-2015-consensus/nobel-laureates-guide-smarter-global-targets-2030" TargetMode="External"/><Relationship Id="rId8" Type="http://schemas.openxmlformats.org/officeDocument/2006/relationships/hyperlink" Target="http://www.copenhagenconsensus.com/post-2015-consensus/economist" TargetMode="External"/><Relationship Id="rId9" Type="http://schemas.openxmlformats.org/officeDocument/2006/relationships/hyperlink" Target="http://www.copenhagenconsensus.com/post-2015-consensus/post-2015-consensus-expert-pane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Macintosh Word</Application>
  <DocSecurity>0</DocSecurity>
  <Lines>12</Lines>
  <Paragraphs>3</Paragraphs>
  <ScaleCrop>false</ScaleCrop>
  <Company>UNITN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Elizabeth Riley</cp:lastModifiedBy>
  <cp:revision>2</cp:revision>
  <cp:lastPrinted>2014-06-02T11:22:00Z</cp:lastPrinted>
  <dcterms:created xsi:type="dcterms:W3CDTF">2015-11-03T21:55:00Z</dcterms:created>
  <dcterms:modified xsi:type="dcterms:W3CDTF">2015-11-03T21:55:00Z</dcterms:modified>
</cp:coreProperties>
</file>